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E6" w:rsidRPr="00DD06D0" w:rsidRDefault="00EC03E6" w:rsidP="00DD06D0">
      <w:pPr>
        <w:pStyle w:val="abzacixml"/>
        <w:jc w:val="right"/>
        <w:rPr>
          <w:b/>
          <w:bCs/>
          <w:lang w:val="ka-GE"/>
        </w:rPr>
      </w:pPr>
      <w:bookmarkStart w:id="0" w:name="_Toc507445382"/>
      <w:bookmarkStart w:id="1" w:name="_GoBack"/>
      <w:bookmarkEnd w:id="1"/>
      <w:r w:rsidRPr="00DD06D0">
        <w:rPr>
          <w:b/>
          <w:bCs/>
          <w:lang w:val="ka-GE"/>
        </w:rPr>
        <w:t>დანართი 1 შეთანხმების შინაარსი</w:t>
      </w:r>
      <w:bookmarkEnd w:id="0"/>
    </w:p>
    <w:p w:rsidR="00EC03E6" w:rsidRPr="00DD06D0" w:rsidRDefault="00EC03E6" w:rsidP="00DD06D0">
      <w:pPr>
        <w:pStyle w:val="abzacixml"/>
        <w:jc w:val="center"/>
        <w:rPr>
          <w:b/>
          <w:bCs/>
          <w:lang w:val="ka-GE"/>
        </w:rPr>
      </w:pPr>
    </w:p>
    <w:p w:rsidR="00EC03E6" w:rsidRPr="00DD06D0" w:rsidRDefault="00EC03E6" w:rsidP="00DD06D0">
      <w:pPr>
        <w:pStyle w:val="abzacixml"/>
        <w:jc w:val="center"/>
        <w:rPr>
          <w:b/>
          <w:bCs/>
          <w:lang w:val="ka-GE"/>
        </w:rPr>
      </w:pPr>
      <w:r w:rsidRPr="00DD06D0">
        <w:rPr>
          <w:b/>
          <w:bCs/>
          <w:lang w:val="ka-GE"/>
        </w:rPr>
        <w:t>სმმ-ს ორგანოს შეთანხმების მინიმალური შინაარსი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 xml:space="preserve">სმმ-ს ორგანოს შეთანხმება სულ მცირე მოიცავს: 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ა</w:t>
      </w:r>
      <w:r>
        <w:rPr>
          <w:lang w:val="ka-GE"/>
        </w:rPr>
        <w:t>)</w:t>
      </w:r>
      <w:r w:rsidRPr="00DD06D0">
        <w:rPr>
          <w:lang w:val="ka-GE"/>
        </w:rPr>
        <w:tab/>
        <w:t>მხარეებს შორის გადამკვეთი ინტერესების აღწერას, მათ შორის პასუხისმგებლობების არეებს, საჰაერო სივრცის სტრუქტურის და საჰაერო სივრცის კლასიფიკაციას;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ბ</w:t>
      </w:r>
      <w:r>
        <w:rPr>
          <w:lang w:val="ka-GE"/>
        </w:rPr>
        <w:t>)</w:t>
      </w:r>
      <w:r w:rsidRPr="00DD06D0">
        <w:rPr>
          <w:lang w:val="ka-GE"/>
        </w:rPr>
        <w:tab/>
        <w:t>საქმიანობის ნებისმიერი სახის დელეგირებას;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გ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>ფრენის გეგმის და სმმ-ს მომსახურებასთან დაკავშირებული ინფორმაციის გაცვლის პროცედურებს, მათ შორის ავტომატიზებული და სამეტყველო კოორდინაციის შეტყობინებებს;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დ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>კავშირის საშუალებებს;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ე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>პროცედურებს მხარეებს შორის სხ-ის მომსახურებასთან დაკავშირებით;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ვ</w:t>
      </w:r>
      <w:r>
        <w:rPr>
          <w:lang w:val="ka-GE"/>
        </w:rPr>
        <w:t>)</w:t>
      </w:r>
      <w:r w:rsidRPr="00DD06D0">
        <w:rPr>
          <w:lang w:val="ka-GE"/>
        </w:rPr>
        <w:tab/>
        <w:t>ძირითად წერტილებს და ეშელონებს და მომსახურების გადაცემის დროს;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ზ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>ძირითადი წერტილებს და ეშელონებს და კავშირის გადაცემის დროს;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თ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>მმრლ-ის კოდის დაწესების პროცედურებს;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ლ</w:t>
      </w:r>
      <w:r>
        <w:rPr>
          <w:lang w:val="ka-GE"/>
        </w:rPr>
        <w:t>)</w:t>
      </w:r>
      <w:r w:rsidRPr="00DD06D0">
        <w:rPr>
          <w:lang w:val="ka-GE"/>
        </w:rPr>
        <w:tab/>
        <w:t xml:space="preserve">პროცედურებს გამფრენი/მომფრენი სხ-ებისთვის; </w:t>
      </w:r>
    </w:p>
    <w:p w:rsidR="00EC03E6" w:rsidRPr="00DD06D0" w:rsidRDefault="00EC03E6" w:rsidP="00DD06D0">
      <w:pPr>
        <w:pStyle w:val="abzacixml"/>
        <w:rPr>
          <w:lang w:val="ka-GE"/>
        </w:rPr>
      </w:pPr>
      <w:r w:rsidRPr="00DD06D0">
        <w:rPr>
          <w:lang w:val="ka-GE"/>
        </w:rPr>
        <w:t>მ</w:t>
      </w:r>
      <w:r>
        <w:rPr>
          <w:lang w:val="ka-GE"/>
        </w:rPr>
        <w:t>)</w:t>
      </w:r>
      <w:r w:rsidRPr="00DD06D0">
        <w:rPr>
          <w:lang w:val="ka-GE"/>
        </w:rPr>
        <w:tab/>
        <w:t>გაუთვალისწინებელი ვითარების დროს მოქმედების პროცედურებს;</w:t>
      </w:r>
    </w:p>
    <w:p w:rsidR="00EC03E6" w:rsidRPr="00DD06D0" w:rsidRDefault="00EC03E6" w:rsidP="00DD06D0">
      <w:pPr>
        <w:pStyle w:val="abzacixml"/>
        <w:rPr>
          <w:b/>
          <w:bCs/>
          <w:color w:val="44546A"/>
          <w:lang w:val="ka-GE"/>
        </w:rPr>
      </w:pPr>
      <w:r w:rsidRPr="00DD06D0">
        <w:rPr>
          <w:lang w:val="ka-GE"/>
        </w:rPr>
        <w:t>ო</w:t>
      </w:r>
      <w:r>
        <w:rPr>
          <w:lang w:val="ka-GE"/>
        </w:rPr>
        <w:t>)</w:t>
      </w:r>
      <w:r w:rsidRPr="00DD06D0">
        <w:rPr>
          <w:lang w:val="ka-GE"/>
        </w:rPr>
        <w:t xml:space="preserve"> </w:t>
      </w:r>
      <w:r w:rsidRPr="00DD06D0">
        <w:rPr>
          <w:lang w:val="ka-GE"/>
        </w:rPr>
        <w:tab/>
        <w:t xml:space="preserve">სხვა ნებისმიერს პირობებს ან ინფორმაციას. </w:t>
      </w:r>
    </w:p>
    <w:p w:rsidR="00EC03E6" w:rsidRPr="00DD06D0" w:rsidRDefault="00EC03E6" w:rsidP="00DD06D0">
      <w:pPr>
        <w:pStyle w:val="abzacixml"/>
        <w:rPr>
          <w:lang w:val="ka-GE"/>
        </w:rPr>
      </w:pPr>
    </w:p>
    <w:p w:rsidR="00EC03E6" w:rsidRPr="00DD06D0" w:rsidRDefault="00EC03E6" w:rsidP="00DD06D0">
      <w:pPr>
        <w:pStyle w:val="abzacixml"/>
        <w:rPr>
          <w:lang w:val="ka-GE"/>
        </w:rPr>
      </w:pPr>
    </w:p>
    <w:p w:rsidR="00EC03E6" w:rsidRPr="00DD06D0" w:rsidRDefault="00EC03E6" w:rsidP="00DD06D0">
      <w:pPr>
        <w:pStyle w:val="abzacixml"/>
        <w:rPr>
          <w:lang w:val="ka-GE"/>
        </w:rPr>
      </w:pPr>
    </w:p>
    <w:p w:rsidR="00EC03E6" w:rsidRPr="00DD06D0" w:rsidRDefault="00EC03E6" w:rsidP="00DD06D0">
      <w:pPr>
        <w:pStyle w:val="abzacixml"/>
        <w:jc w:val="right"/>
        <w:rPr>
          <w:b/>
          <w:bCs/>
          <w:lang w:val="ka-GE"/>
        </w:rPr>
      </w:pPr>
    </w:p>
    <w:p w:rsidR="00EC03E6" w:rsidRPr="00DD06D0" w:rsidRDefault="00EC03E6" w:rsidP="00DD06D0">
      <w:pPr>
        <w:pStyle w:val="abzacixml"/>
        <w:jc w:val="right"/>
        <w:rPr>
          <w:b/>
          <w:bCs/>
          <w:lang w:val="ka-GE"/>
        </w:rPr>
      </w:pPr>
      <w:bookmarkStart w:id="2" w:name="_Toc507445383"/>
      <w:r w:rsidRPr="00DD06D0">
        <w:rPr>
          <w:b/>
          <w:bCs/>
          <w:lang w:val="ka-GE"/>
        </w:rPr>
        <w:t>დანართი 2. გასწვრივი ეშელონირების მინიმუმები</w:t>
      </w:r>
      <w:bookmarkEnd w:id="2"/>
    </w:p>
    <w:p w:rsidR="00EC03E6" w:rsidRPr="00DD06D0" w:rsidRDefault="00EC03E6" w:rsidP="00DD06D0">
      <w:pPr>
        <w:pStyle w:val="abzacixml"/>
        <w:rPr>
          <w:lang w:val="ka-G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0"/>
      </w:tblGrid>
      <w:tr w:rsidR="00EC03E6" w:rsidRPr="00DD06D0">
        <w:trPr>
          <w:jc w:val="center"/>
        </w:trPr>
        <w:tc>
          <w:tcPr>
            <w:tcW w:w="8460" w:type="dxa"/>
            <w:tcBorders>
              <w:top w:val="single" w:sz="12" w:space="0" w:color="000000"/>
            </w:tcBorders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გასწვრივი ეშელონირების მინიმუმები</w:t>
            </w:r>
          </w:p>
        </w:tc>
      </w:tr>
      <w:tr w:rsidR="00EC03E6" w:rsidRPr="00DD06D0">
        <w:trPr>
          <w:jc w:val="center"/>
        </w:trPr>
        <w:tc>
          <w:tcPr>
            <w:tcW w:w="8460" w:type="dxa"/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9 წთ, თუ წინა სხ იცავს 0,02 მახით მეტ სიჩქარეს, ვიდრე მის უკან მყოფი სხ</w:t>
            </w:r>
          </w:p>
        </w:tc>
      </w:tr>
      <w:tr w:rsidR="00EC03E6" w:rsidRPr="00DD06D0">
        <w:trPr>
          <w:jc w:val="center"/>
        </w:trPr>
        <w:tc>
          <w:tcPr>
            <w:tcW w:w="8460" w:type="dxa"/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8 წთ, თუ წინა სხ იცავს 0,03 მახით მეტ სიჩქარეს, ვიდრე მის უკან მყოფი სხ</w:t>
            </w:r>
          </w:p>
        </w:tc>
      </w:tr>
      <w:tr w:rsidR="00EC03E6" w:rsidRPr="00DD06D0">
        <w:trPr>
          <w:jc w:val="center"/>
        </w:trPr>
        <w:tc>
          <w:tcPr>
            <w:tcW w:w="8460" w:type="dxa"/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7 წთ, თუ წინა სხ იცავს 0,04 მახით მეტ სიჩქარეს, ვიდრე მის უკან მყოფი სხ</w:t>
            </w:r>
          </w:p>
        </w:tc>
      </w:tr>
      <w:tr w:rsidR="00EC03E6" w:rsidRPr="00DD06D0">
        <w:trPr>
          <w:jc w:val="center"/>
        </w:trPr>
        <w:tc>
          <w:tcPr>
            <w:tcW w:w="8460" w:type="dxa"/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6 წთ, თუ წინა სხ იცავს 0,05 მახით მეტ სიჩქარეს, ვიდრე მის უკან მყოფი სხ</w:t>
            </w:r>
          </w:p>
        </w:tc>
      </w:tr>
      <w:tr w:rsidR="00EC03E6" w:rsidRPr="00DD06D0">
        <w:trPr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:rsidR="00EC03E6" w:rsidRPr="00DD06D0" w:rsidRDefault="00EC03E6" w:rsidP="00DD06D0">
            <w:pPr>
              <w:pStyle w:val="abzacixml"/>
              <w:rPr>
                <w:lang w:val="ka-GE"/>
              </w:rPr>
            </w:pPr>
            <w:r w:rsidRPr="00DD06D0">
              <w:rPr>
                <w:lang w:val="ka-GE"/>
              </w:rPr>
              <w:t>5 წთ, თუ წინა სხ იცავს 0,06 მახით მეტ სიჩქარეს, ვიდრე მის უკან მყოფი სხ</w:t>
            </w:r>
          </w:p>
        </w:tc>
      </w:tr>
    </w:tbl>
    <w:p w:rsidR="00EC03E6" w:rsidRPr="00DD06D0" w:rsidRDefault="00EC03E6" w:rsidP="00DD06D0">
      <w:pPr>
        <w:pStyle w:val="abzacixml"/>
        <w:rPr>
          <w:lang w:val="ka-GE"/>
        </w:rPr>
      </w:pPr>
    </w:p>
    <w:p w:rsidR="00EC03E6" w:rsidRPr="00DD06D0" w:rsidRDefault="00EC03E6" w:rsidP="00DD06D0">
      <w:pPr>
        <w:pStyle w:val="abzacixml"/>
        <w:rPr>
          <w:lang w:val="ka-GE"/>
        </w:rPr>
      </w:pPr>
    </w:p>
    <w:sectPr w:rsidR="00EC03E6" w:rsidRPr="00DD06D0" w:rsidSect="009B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496"/>
    <w:multiLevelType w:val="hybridMultilevel"/>
    <w:tmpl w:val="90467A9A"/>
    <w:lvl w:ilvl="0" w:tplc="D50CE4CA">
      <w:start w:val="1"/>
      <w:numFmt w:val="decimal"/>
      <w:pStyle w:val="Heading3"/>
      <w:lvlText w:val="დანართი %1."/>
      <w:lvlJc w:val="right"/>
      <w:pPr>
        <w:ind w:left="6030" w:hanging="360"/>
      </w:pPr>
    </w:lvl>
    <w:lvl w:ilvl="1" w:tplc="04370019">
      <w:start w:val="1"/>
      <w:numFmt w:val="lowerLetter"/>
      <w:lvlText w:val="%2."/>
      <w:lvlJc w:val="left"/>
      <w:pPr>
        <w:ind w:left="6750" w:hanging="360"/>
      </w:pPr>
    </w:lvl>
    <w:lvl w:ilvl="2" w:tplc="0437001B">
      <w:start w:val="1"/>
      <w:numFmt w:val="lowerRoman"/>
      <w:lvlText w:val="%3."/>
      <w:lvlJc w:val="right"/>
      <w:pPr>
        <w:ind w:left="7470" w:hanging="180"/>
      </w:pPr>
    </w:lvl>
    <w:lvl w:ilvl="3" w:tplc="0437000F">
      <w:start w:val="1"/>
      <w:numFmt w:val="decimal"/>
      <w:lvlText w:val="%4."/>
      <w:lvlJc w:val="left"/>
      <w:pPr>
        <w:ind w:left="8190" w:hanging="360"/>
      </w:pPr>
    </w:lvl>
    <w:lvl w:ilvl="4" w:tplc="04370019">
      <w:start w:val="1"/>
      <w:numFmt w:val="lowerLetter"/>
      <w:lvlText w:val="%5."/>
      <w:lvlJc w:val="left"/>
      <w:pPr>
        <w:ind w:left="8910" w:hanging="360"/>
      </w:pPr>
    </w:lvl>
    <w:lvl w:ilvl="5" w:tplc="0437001B">
      <w:start w:val="1"/>
      <w:numFmt w:val="lowerRoman"/>
      <w:lvlText w:val="%6."/>
      <w:lvlJc w:val="right"/>
      <w:pPr>
        <w:ind w:left="9630" w:hanging="180"/>
      </w:pPr>
    </w:lvl>
    <w:lvl w:ilvl="6" w:tplc="0437000F">
      <w:start w:val="1"/>
      <w:numFmt w:val="decimal"/>
      <w:lvlText w:val="%7."/>
      <w:lvlJc w:val="left"/>
      <w:pPr>
        <w:ind w:left="10350" w:hanging="360"/>
      </w:pPr>
    </w:lvl>
    <w:lvl w:ilvl="7" w:tplc="04370019">
      <w:start w:val="1"/>
      <w:numFmt w:val="lowerLetter"/>
      <w:lvlText w:val="%8."/>
      <w:lvlJc w:val="left"/>
      <w:pPr>
        <w:ind w:left="11070" w:hanging="360"/>
      </w:pPr>
    </w:lvl>
    <w:lvl w:ilvl="8" w:tplc="0437001B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E"/>
    <w:rsid w:val="003359FE"/>
    <w:rsid w:val="005B2636"/>
    <w:rsid w:val="005D5333"/>
    <w:rsid w:val="009B098F"/>
    <w:rsid w:val="00B41344"/>
    <w:rsid w:val="00B870DD"/>
    <w:rsid w:val="00C55177"/>
    <w:rsid w:val="00C557B3"/>
    <w:rsid w:val="00DD06D0"/>
    <w:rsid w:val="00EC03E6"/>
    <w:rsid w:val="00E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7C166C-24F4-48E3-80D5-8274B1C9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36"/>
    <w:pPr>
      <w:jc w:val="both"/>
    </w:pPr>
    <w:rPr>
      <w:rFonts w:ascii="Sylfaen" w:eastAsia="Times New Roman" w:hAnsi="Sylfaen" w:cs="Sylfaen"/>
      <w:sz w:val="20"/>
      <w:szCs w:val="20"/>
      <w:lang w:val="ka-G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636"/>
    <w:pPr>
      <w:keepNext/>
      <w:keepLines/>
      <w:pageBreakBefore/>
      <w:numPr>
        <w:numId w:val="1"/>
      </w:numPr>
      <w:spacing w:line="240" w:lineRule="atLeast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636"/>
    <w:rPr>
      <w:rFonts w:ascii="Sylfaen" w:hAnsi="Sylfaen" w:cs="Sylfaen"/>
      <w:b/>
      <w:bCs/>
      <w:sz w:val="20"/>
      <w:szCs w:val="20"/>
      <w:lang w:val="ka-GE" w:eastAsia="x-none"/>
    </w:rPr>
  </w:style>
  <w:style w:type="paragraph" w:styleId="ListParagraph">
    <w:name w:val="List Paragraph"/>
    <w:basedOn w:val="Normal"/>
    <w:uiPriority w:val="99"/>
    <w:qFormat/>
    <w:rsid w:val="005B2636"/>
    <w:pPr>
      <w:ind w:left="708"/>
    </w:pPr>
  </w:style>
  <w:style w:type="paragraph" w:customStyle="1" w:styleId="abzacixml">
    <w:name w:val="abzaci_xml"/>
    <w:basedOn w:val="PlainText"/>
    <w:autoRedefine/>
    <w:uiPriority w:val="99"/>
    <w:rsid w:val="00DD06D0"/>
    <w:pPr>
      <w:ind w:firstLine="283"/>
    </w:pPr>
    <w:rPr>
      <w:rFonts w:ascii="Sylfaen" w:eastAsia="Calibri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5B26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B2636"/>
    <w:rPr>
      <w:rFonts w:ascii="Consolas" w:hAnsi="Consolas" w:cs="Consolas"/>
      <w:sz w:val="21"/>
      <w:szCs w:val="21"/>
      <w:lang w:val="ka-G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Niino Tsotoidze</dc:creator>
  <cp:keywords/>
  <dc:description/>
  <cp:lastModifiedBy>GCAAballroom</cp:lastModifiedBy>
  <cp:revision>2</cp:revision>
  <cp:lastPrinted>2018-03-12T06:01:00Z</cp:lastPrinted>
  <dcterms:created xsi:type="dcterms:W3CDTF">2021-03-12T09:01:00Z</dcterms:created>
  <dcterms:modified xsi:type="dcterms:W3CDTF">2021-03-12T09:01:00Z</dcterms:modified>
</cp:coreProperties>
</file>